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eastAsia="黑体"/>
          <w:color w:val="000000"/>
          <w:sz w:val="32"/>
          <w:szCs w:val="32"/>
        </w:rPr>
      </w:pPr>
      <w:r>
        <w:rPr>
          <w:rFonts w:hint="eastAsia" w:ascii="黑体" w:eastAsia="黑体"/>
          <w:color w:val="000000"/>
          <w:sz w:val="32"/>
          <w:szCs w:val="32"/>
        </w:rPr>
        <w:t>附件1</w:t>
      </w:r>
    </w:p>
    <w:p>
      <w:pPr>
        <w:spacing w:line="300" w:lineRule="exact"/>
        <w:rPr>
          <w:rFonts w:hint="eastAsia" w:ascii="仿宋_GB2312" w:eastAsia="仿宋_GB2312"/>
          <w:color w:val="000000"/>
          <w:szCs w:val="21"/>
        </w:rPr>
      </w:pPr>
    </w:p>
    <w:p>
      <w:pPr>
        <w:spacing w:line="576" w:lineRule="exact"/>
        <w:jc w:val="center"/>
        <w:rPr>
          <w:rFonts w:ascii="方正小标宋简体" w:eastAsia="方正小标宋简体"/>
          <w:b/>
          <w:color w:val="000000"/>
          <w:spacing w:val="10"/>
          <w:sz w:val="44"/>
          <w:szCs w:val="44"/>
        </w:rPr>
      </w:pPr>
      <w:r>
        <w:rPr>
          <w:rFonts w:hint="eastAsia" w:ascii="方正小标宋简体" w:eastAsia="方正小标宋简体"/>
          <w:b/>
          <w:color w:val="000000"/>
          <w:spacing w:val="10"/>
          <w:sz w:val="44"/>
          <w:szCs w:val="44"/>
        </w:rPr>
        <w:t>用人单位基本情况</w:t>
      </w:r>
    </w:p>
    <w:p>
      <w:pPr>
        <w:spacing w:line="300" w:lineRule="exact"/>
        <w:rPr>
          <w:rFonts w:hint="eastAsia" w:ascii="仿宋_GB2312" w:eastAsia="仿宋_GB2312"/>
          <w:color w:val="000000"/>
          <w:szCs w:val="21"/>
        </w:rPr>
      </w:pPr>
    </w:p>
    <w:tbl>
      <w:tblPr>
        <w:tblStyle w:val="3"/>
        <w:tblW w:w="13865" w:type="dxa"/>
        <w:jc w:val="center"/>
        <w:tblInd w:w="0" w:type="dxa"/>
        <w:tblLayout w:type="fixed"/>
        <w:tblCellMar>
          <w:top w:w="28" w:type="dxa"/>
          <w:left w:w="28" w:type="dxa"/>
          <w:bottom w:w="28" w:type="dxa"/>
          <w:right w:w="28" w:type="dxa"/>
        </w:tblCellMar>
      </w:tblPr>
      <w:tblGrid>
        <w:gridCol w:w="540"/>
        <w:gridCol w:w="2082"/>
        <w:gridCol w:w="2160"/>
        <w:gridCol w:w="900"/>
        <w:gridCol w:w="2160"/>
        <w:gridCol w:w="5040"/>
        <w:gridCol w:w="983"/>
      </w:tblGrid>
      <w:tr>
        <w:tblPrEx>
          <w:tblLayout w:type="fixed"/>
          <w:tblCellMar>
            <w:top w:w="28" w:type="dxa"/>
            <w:left w:w="28" w:type="dxa"/>
            <w:bottom w:w="28" w:type="dxa"/>
            <w:right w:w="28" w:type="dxa"/>
          </w:tblCellMar>
        </w:tblPrEx>
        <w:trPr>
          <w:trHeight w:val="415"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宋体" w:eastAsia="黑体"/>
                <w:color w:val="000000"/>
                <w:szCs w:val="21"/>
              </w:rPr>
            </w:pPr>
            <w:r>
              <w:rPr>
                <w:rFonts w:hint="eastAsia" w:ascii="黑体" w:hAnsi="宋体" w:eastAsia="黑体"/>
                <w:color w:val="000000"/>
                <w:szCs w:val="21"/>
              </w:rPr>
              <w:t>序号</w:t>
            </w:r>
          </w:p>
        </w:tc>
        <w:tc>
          <w:tcPr>
            <w:tcW w:w="208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olor w:val="000000"/>
                <w:szCs w:val="21"/>
              </w:rPr>
            </w:pPr>
            <w:r>
              <w:rPr>
                <w:rFonts w:hint="eastAsia" w:ascii="黑体" w:hAnsi="宋体" w:eastAsia="黑体"/>
                <w:color w:val="000000"/>
                <w:szCs w:val="21"/>
              </w:rPr>
              <w:t>用人单位</w:t>
            </w:r>
          </w:p>
        </w:tc>
        <w:tc>
          <w:tcPr>
            <w:tcW w:w="216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olor w:val="000000"/>
                <w:szCs w:val="21"/>
              </w:rPr>
            </w:pPr>
            <w:r>
              <w:rPr>
                <w:rFonts w:hint="eastAsia" w:ascii="黑体" w:hAnsi="宋体" w:eastAsia="黑体"/>
                <w:color w:val="000000"/>
                <w:szCs w:val="21"/>
              </w:rPr>
              <w:t>主管部门</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olor w:val="000000"/>
                <w:szCs w:val="21"/>
              </w:rPr>
            </w:pPr>
            <w:r>
              <w:rPr>
                <w:rFonts w:hint="eastAsia" w:ascii="黑体" w:hAnsi="宋体" w:eastAsia="黑体"/>
                <w:color w:val="000000"/>
                <w:szCs w:val="21"/>
              </w:rPr>
              <w:t>经费性质</w:t>
            </w:r>
          </w:p>
        </w:tc>
        <w:tc>
          <w:tcPr>
            <w:tcW w:w="216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olor w:val="000000"/>
                <w:szCs w:val="21"/>
              </w:rPr>
            </w:pPr>
            <w:r>
              <w:rPr>
                <w:rFonts w:hint="eastAsia" w:ascii="黑体" w:hAnsi="宋体" w:eastAsia="黑体"/>
                <w:color w:val="000000"/>
                <w:szCs w:val="21"/>
              </w:rPr>
              <w:t>单位地址</w:t>
            </w:r>
          </w:p>
        </w:tc>
        <w:tc>
          <w:tcPr>
            <w:tcW w:w="504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olor w:val="000000"/>
                <w:szCs w:val="21"/>
              </w:rPr>
            </w:pPr>
            <w:r>
              <w:rPr>
                <w:rFonts w:hint="eastAsia" w:ascii="黑体" w:hAnsi="宋体" w:eastAsia="黑体"/>
                <w:color w:val="000000"/>
                <w:szCs w:val="21"/>
              </w:rPr>
              <w:t>主要职能简介</w:t>
            </w:r>
          </w:p>
        </w:tc>
        <w:tc>
          <w:tcPr>
            <w:tcW w:w="98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olor w:val="000000"/>
                <w:szCs w:val="21"/>
              </w:rPr>
            </w:pPr>
            <w:r>
              <w:rPr>
                <w:rFonts w:hint="eastAsia" w:ascii="黑体" w:hAnsi="宋体" w:eastAsia="黑体"/>
                <w:color w:val="000000"/>
                <w:szCs w:val="21"/>
              </w:rPr>
              <w:t>备注</w:t>
            </w: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1</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广元市利州区经济发展信息中心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广元市利州区发展和改革局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围绕经济社会发展，为政府加强宏观经济管理提供信息网络平台、经济预测监测和信息收集整理服务。</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2</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广元市利州区机构编制信息中心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中共广元市利州区委机构编制委员会办公室</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负责全区机构编制信息公开工作；负责全区机构编制信息平台建设；负责机构编制管理软件系统的运用；负责全区机构编制统计的具体工作。</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3</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广元市利州区交通质量监督管理站</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pacing w:val="-10"/>
                <w:szCs w:val="21"/>
              </w:rPr>
            </w:pPr>
            <w:r>
              <w:rPr>
                <w:rFonts w:hint="eastAsia" w:ascii="宋体" w:hAnsi="宋体"/>
                <w:color w:val="000000"/>
                <w:spacing w:val="-10"/>
                <w:szCs w:val="21"/>
              </w:rPr>
              <w:t>广元市利州区交通运输局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负责对各乡镇农村公路建设进行技术指导和服务；负责全区农村公路建设质量管理工作；负责农村公路日常管理和养护质量的监督检查工作。</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4</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广元市利州区财政绩效管理中心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广元市利州区财政局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广元市利州区东坝街道办事处</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承担全区财政绩效工作、研究制定全区财政绩效管理制度并组织实施；负责组织实施全区财政绩效考评工作，研究提出考评结果运用建议。</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5</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广元市利州区委书记区长信箱办公室</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中共广元市利州区委办公室</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负责办理市委书记、市长信箱来信和区委书记、区长信箱来信以及市、区领导批示件。</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6</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广元市利州区乡镇街道林业站</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广元市利州区林业和园林局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pacing w:val="-10"/>
                <w:szCs w:val="21"/>
              </w:rPr>
              <w:t>广元市利州区嘉陵街道办事处</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协助乡镇政府制定林业发展规划和年度计划，组织和指导农村集体、个人开展林业生产经营活动；配合林业行政主管部门开展资源调查、造林检查验收、林业统计等工作。</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7</w:t>
            </w:r>
          </w:p>
        </w:tc>
        <w:tc>
          <w:tcPr>
            <w:tcW w:w="2082" w:type="dxa"/>
            <w:tcBorders>
              <w:top w:val="nil"/>
              <w:left w:val="nil"/>
              <w:bottom w:val="single" w:color="auto" w:sz="4" w:space="0"/>
              <w:right w:val="single" w:color="auto" w:sz="4" w:space="0"/>
            </w:tcBorders>
            <w:vAlign w:val="center"/>
          </w:tcPr>
          <w:p>
            <w:pPr>
              <w:spacing w:line="300" w:lineRule="exact"/>
              <w:rPr>
                <w:rFonts w:hint="eastAsia" w:ascii="宋体" w:hAnsi="宋体"/>
                <w:color w:val="000000"/>
                <w:szCs w:val="21"/>
              </w:rPr>
            </w:pPr>
            <w:r>
              <w:rPr>
                <w:rFonts w:hint="eastAsia" w:ascii="宋体" w:hAnsi="宋体"/>
                <w:color w:val="000000"/>
                <w:szCs w:val="21"/>
              </w:rPr>
              <w:t>广元市利州区经济信息中心</w:t>
            </w:r>
          </w:p>
          <w:p>
            <w:pPr>
              <w:spacing w:line="300" w:lineRule="exact"/>
              <w:rPr>
                <w:rFonts w:hint="eastAsia" w:ascii="宋体" w:hAnsi="宋体"/>
                <w:color w:val="000000"/>
                <w:szCs w:val="21"/>
              </w:rPr>
            </w:pP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广元市利州区经济科技和信息化局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为经济发展提供信息服务。信息采集，信息加工处理，信息分析，信息发布，信息系统建设，信息资料管理，信息查询与咨询服务。</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8</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广元市利州区网格化服务管理监管中心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中共广元市利州区委政法委</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r>
              <w:rPr>
                <w:rFonts w:hint="eastAsia" w:ascii="宋体" w:hAnsi="宋体"/>
                <w:color w:val="000000"/>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color w:val="000000"/>
                <w:szCs w:val="21"/>
              </w:rPr>
              <w:t>对辖区范围内的人、地、事、物、组织五大要素进行全面的信息采集管理，收集人口信息、乡镇特色治安信息和消防安全等信息，强化社会治理。</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color w:val="000000"/>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9</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pacing w:val="-10"/>
                <w:szCs w:val="21"/>
              </w:rPr>
              <w:t>广元市利州区老年大学</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广元市利州区民政局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广元市利州区东坝街道办事处</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制定区老年教育发展规划和区老年大学规划;组织老年大学办学、教学、教研工作，推进学校科学发展。</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10</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广元市利州区畜牧生产科教站</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广元市利州区农业局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pacing w:val="-10"/>
                <w:szCs w:val="21"/>
              </w:rPr>
              <w:t>广元市利州区嘉陵街道办事处</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负责农业新技术推广、动物防疫、屠宰检疫工作和强制免疫的工作；负责畜牧业生产和水产养殖先进实用技术的推广工作。</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11</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广元市利州区对外宣传中心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中共广元市利州区委宣传部</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组织实施全区对外新闻宣传工作规划；指导全区新闻业务工作。</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12</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广元市利州区广播电视台</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广元市利州区文化广电新闻出版局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负责新闻宣传、广播电视服务。</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13</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广元市利州区政府电子政务外网管理中心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广元市利州区人民政府办公室</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广元市利州区东坝街道办事处</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负责指导全区政府系统信息化工作；负责系统软件人员的培训工作；负责区政府机关内部办公业务网络和以因特网依托的政府公众信息网的管理服务。</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14</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广元市利州区安全应急和信息中心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广元市利州区安全生产监督管理局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广元市利州区上西街道办事处</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承担生产安全事故、行政执法、隐患排查治理、职业健康、煤矿安全监督等统计工作和生产安全事故统计工作；负责安全生产应急救援管理和安全生产控制指标执行情况考核工作。</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15</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广元市利州区审计信息中心</w:t>
            </w:r>
          </w:p>
        </w:tc>
        <w:tc>
          <w:tcPr>
            <w:tcW w:w="2160" w:type="dxa"/>
            <w:vMerge w:val="restart"/>
            <w:tcBorders>
              <w:top w:val="nil"/>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广元市利州区审计局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负责“金审工程”建设；负责指导审计机关开展计算机审计工作；负责审计信息网站的建设、维护和安全管理；负责有关审计工作应用系统的开发、维护及推广。</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16</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广元市利州区固定资产投资审计中心</w:t>
            </w:r>
          </w:p>
        </w:tc>
        <w:tc>
          <w:tcPr>
            <w:tcW w:w="2160" w:type="dxa"/>
            <w:vMerge w:val="continue"/>
            <w:tcBorders>
              <w:top w:val="nil"/>
              <w:left w:val="single" w:color="auto" w:sz="4" w:space="0"/>
              <w:bottom w:val="single" w:color="auto" w:sz="4" w:space="0"/>
              <w:right w:val="single" w:color="auto" w:sz="4" w:space="0"/>
            </w:tcBorders>
            <w:vAlign w:val="center"/>
          </w:tcPr>
          <w:p>
            <w:pPr>
              <w:spacing w:line="300" w:lineRule="exact"/>
              <w:rPr>
                <w:rFonts w:ascii="宋体" w:hAnsi="宋体"/>
                <w:szCs w:val="21"/>
              </w:rPr>
            </w:pP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依法对政府投资或政府投资为主的建设项目的概（预）算执行情况、结（决）算情况，项目资金的筹集、使用情况进行审计监督。</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17</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广元市利州区城乡居民社会养老保险局</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广元市利州区人力资源和社会保障局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负责城乡居民社会养老保险工作；制定城乡居民社会养老保险发展规划；负责城乡居民社会养老保险政策宣传工作。</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18</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广元市利州区中华职教社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中共广元市利州区委统战部</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通过开展职业教育，同广大职业教育工作者、经济界人士和港澳台同胞、海外侨胞、国</w:t>
            </w:r>
            <w:bookmarkStart w:id="0" w:name="_GoBack"/>
            <w:bookmarkEnd w:id="0"/>
            <w:r>
              <w:rPr>
                <w:rFonts w:hint="eastAsia" w:ascii="宋体" w:hAnsi="宋体"/>
                <w:szCs w:val="21"/>
              </w:rPr>
              <w:t>际友人以及中外职业教育团体、人士保持着密切联系和往来。</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19</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广元市利州区干部教育培训中心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pacing w:val="-10"/>
                <w:szCs w:val="21"/>
              </w:rPr>
              <w:t>中共广元市利州区委党校</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广元市利州区上西街道办事处</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pacing w:val="-10"/>
                <w:szCs w:val="21"/>
              </w:rPr>
            </w:pPr>
            <w:r>
              <w:rPr>
                <w:rFonts w:hint="eastAsia" w:ascii="宋体" w:hAnsi="宋体"/>
                <w:spacing w:val="-10"/>
                <w:szCs w:val="21"/>
              </w:rPr>
              <w:t>负责党员、干部的政治理论培训，机关、企事业单位新录（聘）用干部的岗前培训、晋升职务、干部任职培训等工作。</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20</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广元市利州区城市物业和市政公用事业管理所</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广元市利州区城乡规划建设和住房保障局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pacing w:val="-6"/>
                <w:szCs w:val="21"/>
              </w:rPr>
            </w:pPr>
            <w:r>
              <w:rPr>
                <w:rFonts w:hint="eastAsia" w:ascii="宋体" w:hAnsi="宋体"/>
                <w:spacing w:val="-6"/>
                <w:szCs w:val="21"/>
              </w:rPr>
              <w:t>负责城市物业服务企业的监督管理、前期物业合同备案、物业承接查验备案、前期物业招投标监督管理和备案；负责市政道路路灯、绿化等市政公用事业方面的管理工作。</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21</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广元市利州区旅游投诉服务中心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广元市利州区旅游局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广元市利州区东坝街道办事处</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pacing w:val="-6"/>
                <w:szCs w:val="21"/>
              </w:rPr>
            </w:pPr>
            <w:r>
              <w:rPr>
                <w:rFonts w:hint="eastAsia" w:ascii="宋体" w:hAnsi="宋体"/>
                <w:spacing w:val="-6"/>
                <w:szCs w:val="21"/>
              </w:rPr>
              <w:t>负责受理辖区内游客投诉，协调处理旅游纠纷，维护旅游者合法权益；受理上级旅游投诉管理机关转办的投诉案件；负责旅游服务信息咨询，对旅游服务、管理人员进行培训。</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22</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广元市利州区外来企业服务中心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pacing w:val="-10"/>
                <w:szCs w:val="21"/>
              </w:rPr>
              <w:t>广元市利州区投资促进局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协调解决落户企业生产经营过程中出现的困难和问题，努力改善投资环境。</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23</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中共广元市利州区纪检监察网络政务与电教中心</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中共广元市利州区纪委</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广元市利州区万源新区</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pacing w:val="-10"/>
                <w:szCs w:val="21"/>
              </w:rPr>
            </w:pPr>
            <w:r>
              <w:rPr>
                <w:rFonts w:hint="eastAsia" w:ascii="宋体" w:hAnsi="宋体"/>
                <w:spacing w:val="-10"/>
                <w:szCs w:val="21"/>
              </w:rPr>
              <w:t>负责反腐倡廉对外宣传工作，负责总结、宣传开展党风、党纪、廉政教育的做法和经验。负责宣传党风廉政建设和反腐败斗争取得的重大成果和涌现出来的先进事迹、先进人物。负责反腐倡廉网络评论和党风廉政建设舆论监督，对全区党员干部进行遵纪守法、反腐倡廉和廉政知识的宣传教育。</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r>
        <w:tblPrEx>
          <w:tblLayout w:type="fixed"/>
          <w:tblCellMar>
            <w:top w:w="28" w:type="dxa"/>
            <w:left w:w="28" w:type="dxa"/>
            <w:bottom w:w="28" w:type="dxa"/>
            <w:right w:w="28" w:type="dxa"/>
          </w:tblCellMar>
        </w:tblPrEx>
        <w:trPr>
          <w:jc w:val="center"/>
        </w:trPr>
        <w:tc>
          <w:tcPr>
            <w:tcW w:w="540" w:type="dxa"/>
            <w:tcBorders>
              <w:top w:val="nil"/>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24</w:t>
            </w:r>
          </w:p>
        </w:tc>
        <w:tc>
          <w:tcPr>
            <w:tcW w:w="2082"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广元市城乡规划局利州分局</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广元市城乡规划局</w:t>
            </w:r>
          </w:p>
        </w:tc>
        <w:tc>
          <w:tcPr>
            <w:tcW w:w="900"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全额拨款</w:t>
            </w:r>
          </w:p>
        </w:tc>
        <w:tc>
          <w:tcPr>
            <w:tcW w:w="216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广元市利州区东坝街道办事处</w:t>
            </w:r>
          </w:p>
        </w:tc>
        <w:tc>
          <w:tcPr>
            <w:tcW w:w="5040" w:type="dxa"/>
            <w:tcBorders>
              <w:top w:val="nil"/>
              <w:left w:val="nil"/>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zCs w:val="21"/>
              </w:rPr>
              <w:t>负责拟订城市和乡镇规划；负责组织编制控制性详细规划和重要地段修建性详细规划。</w:t>
            </w:r>
          </w:p>
        </w:tc>
        <w:tc>
          <w:tcPr>
            <w:tcW w:w="983" w:type="dxa"/>
            <w:tcBorders>
              <w:top w:val="nil"/>
              <w:left w:val="nil"/>
              <w:bottom w:val="single" w:color="auto" w:sz="4" w:space="0"/>
              <w:right w:val="single" w:color="auto" w:sz="4" w:space="0"/>
            </w:tcBorders>
            <w:vAlign w:val="center"/>
          </w:tcPr>
          <w:p>
            <w:pPr>
              <w:spacing w:line="300" w:lineRule="exact"/>
              <w:jc w:val="center"/>
              <w:rPr>
                <w:rFonts w:ascii="宋体" w:hAnsi="宋体"/>
                <w:szCs w:val="21"/>
              </w:rPr>
            </w:pPr>
          </w:p>
        </w:tc>
      </w:tr>
    </w:tbl>
    <w:p>
      <w:pPr>
        <w:spacing w:line="300" w:lineRule="exact"/>
        <w:rPr>
          <w:rFonts w:hint="eastAsia" w:ascii="仿宋_GB2312" w:eastAsia="仿宋_GB2312"/>
          <w:szCs w:val="21"/>
        </w:rPr>
      </w:pPr>
    </w:p>
    <w:p>
      <w:pPr>
        <w:spacing w:line="300" w:lineRule="exact"/>
        <w:rPr>
          <w:rFonts w:hint="eastAsia" w:ascii="仿宋_GB2312" w:eastAsia="仿宋_GB2312"/>
          <w:szCs w:val="21"/>
        </w:rPr>
      </w:pPr>
    </w:p>
    <w:p>
      <w:pPr>
        <w:spacing w:line="576" w:lineRule="exact"/>
        <w:rPr>
          <w:rFonts w:hint="eastAsia" w:ascii="仿宋_GB2312" w:eastAsia="仿宋_GB2312"/>
          <w:sz w:val="32"/>
          <w:szCs w:val="32"/>
        </w:rPr>
      </w:pPr>
    </w:p>
    <w:p/>
    <w:sectPr>
      <w:pgSz w:w="16838" w:h="11906" w:orient="landscape"/>
      <w:pgMar w:top="1531" w:right="1985" w:bottom="1531" w:left="209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35DF"/>
    <w:rsid w:val="004A35DF"/>
    <w:rsid w:val="00DB3379"/>
    <w:rsid w:val="2759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398</Words>
  <Characters>2275</Characters>
  <Lines>18</Lines>
  <Paragraphs>5</Paragraphs>
  <ScaleCrop>false</ScaleCrop>
  <LinksUpToDate>false</LinksUpToDate>
  <CharactersWithSpaces>2668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2018-04-04T01:45:00Z</dcterms:created>
  <dc:creator>2012</dc:creator>
  <cp:lastModifiedBy>Bogo</cp:lastModifiedBy>
  <dcterms:modified xsi:type="dcterms:W3CDTF">2018-04-04T02:53:15Z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