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afterLines="50" w:line="580" w:lineRule="exact"/>
        <w:jc w:val="center"/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职业规划书评分表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90"/>
        <w:gridCol w:w="900"/>
        <w:gridCol w:w="7428"/>
        <w:gridCol w:w="999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满分值</w:t>
            </w:r>
          </w:p>
        </w:tc>
        <w:tc>
          <w:tcPr>
            <w:tcW w:w="742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要求描述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细分值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作品撰写</w:t>
            </w: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结构与行文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1.结构完整，包含职业生涯规划五大步骤内容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2.思路清晰，逻辑严谨，围绕个人职业困惑进行有针对性的分析和规划。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3.格式清晰，段落分明，行文流畅，语句通顺，结论突出。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作品内容</w:t>
            </w: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自我认知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1.自我分析全面、客观，从职业个性、兴趣、能力、价值观等方面清晰地认识自我。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2.善于合理、有效运用各种正式和非正式测评工具。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3.能利用个人成长经历或处事方式，对测评结果进行佐证或澄清，分析总结自我再职业发展中的影响。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职业认知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1.外部环境（社会、经济、学校、家庭等）分析准确、全面。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2.高度概括职业探索方法与结果，简洁精炼，重点突出。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3.《职业探索报告》采用多种方法收集信息，准确把握与目标职业相关的关键要素。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目标确立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1.正确运用评估理论和决策模型作出职业方向选择（如升学、就业、创业等）。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2.对照自我认知和职业认知的结果，合理阐述职业目标的选择过程，逻辑清晰。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3.职业目标实现路径能结合个人实际情况，分析透彻，具有较强的可操作性。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计划实施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1.运用科学的方法指导计划的制定、实施、管理与评估。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2.职业素质与能力培养与目标职业要求相一致，思路清晰，针对性强，重点突出。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3.学生生涯计划详尽清晰、可操作性强，平衡专业学习与社会实践，注重资源积累。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4.中期计划清晰并具有灵活性；长期计划具有方向性。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Merge w:val="restart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反馈修正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1.自我监控、评估手段科学合理。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2.风险控制或危机应对措施明确。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28" w:type="dxa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3.备选方案思路清晰，分析严谨，关联性强，可行性高。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7428" w:type="dxa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3" w:type="dxa"/>
            <w:gridSpan w:val="2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/>
          <w:sz w:val="21"/>
          <w:szCs w:val="24"/>
          <w:lang w:val="en-US" w:eastAsia="zh-CN"/>
        </w:rPr>
        <w:sectPr>
          <w:pgSz w:w="16838" w:h="11906" w:orient="landscape"/>
          <w:pgMar w:top="1474" w:right="2098" w:bottom="1020" w:left="198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szCs w:val="24"/>
          <w:lang w:val="en-US" w:eastAsia="zh-CN"/>
        </w:rPr>
        <w:t xml:space="preserve">  评为签字：                                                                                        年    月    日</w:t>
      </w:r>
    </w:p>
    <w:p>
      <w:pPr>
        <w:pStyle w:val="2"/>
        <w:bidi w:val="0"/>
        <w:jc w:val="center"/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  <w:t>个人展示视频评分表</w:t>
      </w: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82"/>
        <w:gridCol w:w="982"/>
        <w:gridCol w:w="2805"/>
        <w:gridCol w:w="8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总分值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细分项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展示主题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与自身职业规划主题有关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1.个人展示的内容紧扣自身规划的职业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2.个人展示内容对职业规划能力提升有促进作用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3.个人展示的内容彰显正能量，体现积极向上的价值观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4.个人展示中能反应良好的职业形象和职业素养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整体表现</w:t>
            </w:r>
          </w:p>
        </w:tc>
        <w:tc>
          <w:tcPr>
            <w:tcW w:w="15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表现力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现场表现力和感染力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45分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得分：</w:t>
            </w:r>
          </w:p>
        </w:tc>
      </w:tr>
    </w:tbl>
    <w:p>
      <w:pPr>
        <w:ind w:firstLine="2310" w:firstLineChars="1100"/>
        <w:rPr>
          <w:rFonts w:hint="eastAsia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评委签字：                              年   月   日</w:t>
      </w:r>
    </w:p>
    <w:p>
      <w:pPr>
        <w:jc w:val="righ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20" w:firstLineChars="100"/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说明：1.横向拍摄，画面稳定、剪辑流畅、画质良好，时长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3分钟内；</w:t>
      </w:r>
    </w:p>
    <w:p>
      <w:pPr>
        <w:ind w:firstLine="1280" w:firstLineChars="400"/>
        <w:jc w:val="both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 xml:space="preserve">2.视频展示自身职业规划、职业形象、职业素养。 </w:t>
      </w:r>
    </w:p>
    <w:p>
      <w:pPr>
        <w:ind w:firstLine="1280" w:firstLineChars="40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</w:t>
      </w: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bidi w:val="0"/>
        <w:jc w:val="center"/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  <w:t>个人才艺展示评分表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0"/>
        <w:gridCol w:w="1480"/>
        <w:gridCol w:w="2974"/>
        <w:gridCol w:w="69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评分要点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总分值</w:t>
            </w:r>
          </w:p>
        </w:tc>
        <w:tc>
          <w:tcPr>
            <w:tcW w:w="297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评分内容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细分项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现场表现</w:t>
            </w:r>
          </w:p>
        </w:tc>
        <w:tc>
          <w:tcPr>
            <w:tcW w:w="148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表现力</w:t>
            </w:r>
          </w:p>
        </w:tc>
        <w:tc>
          <w:tcPr>
            <w:tcW w:w="148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297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1.才艺展示的内容的积极向上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0" w:type="dxa"/>
            <w:vMerge w:val="continue"/>
          </w:tcPr>
          <w:p/>
        </w:tc>
        <w:tc>
          <w:tcPr>
            <w:tcW w:w="1480" w:type="dxa"/>
            <w:vMerge w:val="continue"/>
          </w:tcPr>
          <w:p/>
        </w:tc>
        <w:tc>
          <w:tcPr>
            <w:tcW w:w="1480" w:type="dxa"/>
            <w:vMerge w:val="continue"/>
          </w:tcPr>
          <w:p/>
        </w:tc>
        <w:tc>
          <w:tcPr>
            <w:tcW w:w="297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2.才艺展示中能反应良好的精神风貌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97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3.才艺展示富有现场表现力和感染力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15分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得分：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20" w:firstLineChars="100"/>
        <w:jc w:val="both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说明：1.选手进行才艺展示，形式不限，主要展现选手朝气蓬勃的精神面貌，以及职场新人的形象；</w:t>
      </w:r>
    </w:p>
    <w:p>
      <w:pPr>
        <w:ind w:firstLine="1280" w:firstLineChars="400"/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2.时长3分钟内。</w:t>
      </w:r>
    </w:p>
    <w:p>
      <w:pPr>
        <w:ind w:firstLine="320" w:firstLineChars="100"/>
        <w:jc w:val="both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ind w:firstLine="320" w:firstLineChars="100"/>
        <w:jc w:val="both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/>
    <w:p/>
    <w:p/>
    <w:p/>
    <w:p/>
    <w:p/>
    <w:p/>
    <w:p/>
    <w:p/>
    <w:p/>
    <w:p/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  <w:sectPr>
          <w:pgSz w:w="11906" w:h="16838"/>
          <w:pgMar w:top="2098" w:right="113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  <w:t>现场路演评分表</w:t>
      </w:r>
    </w:p>
    <w:tbl>
      <w:tblPr>
        <w:tblStyle w:val="3"/>
        <w:tblW w:w="97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6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具体描述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选手得分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现场路演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路演内容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1.对职业规划的自我探索、职业探索、决策应对等环节的要素及分析过程陈述完整全面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2.在陈述中能够正确理解、引用、应用职业规划基础理论及各项辅助工具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3.对各项探索分析过程及规划结果表述准确，与职业规划设计作品内容吻合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4.PPT设计精巧，重点突出，简明扼要，能够精确提炼职业规划设计作品要点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路演过程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1.整体设计合理，环节紧凑，调理清晰，层次分明，结论明确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2.详略得当，重点突出，人职匹配、职业路径论述充分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 思路清晰，逻辑性强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4. 表达自然、流畅、无明显停顿，语句通顺，措辞恰当，语言组织畅达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5.讲普通话，声音洪亮，口齿清晰，语速语调适中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6. 富于激情，善于引导现场观众，肢体语言恰当、丰富，能够感染他人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基本素养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1.衣着发型整齐、大方、朴素、得体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 仪表端庄稳重， 坐立行为大方、自然，表情丰富真诚， 有良好基本素养的个人气质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 言之有礼，情操高尚，谈吐文雅，富于思想内涵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4.精神饱满，有信心，有独立见解，能充分展现大学生朝气蓬勃的精神风貌和职场新人的职业形象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即时效果</w:t>
            </w:r>
          </w:p>
        </w:tc>
        <w:tc>
          <w:tcPr>
            <w:tcW w:w="5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 按时完成主题陈述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 现场观众注意力集中，情绪高亢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个人特色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1.在职业规划和主题陈述中具有创造性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 特长特点鲜明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50分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ind w:firstLine="320" w:firstLineChars="100"/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说明：参赛选手通过PPT展示，对职业生涯规划进行现场路演。</w:t>
      </w:r>
    </w:p>
    <w:p>
      <w:pPr>
        <w:ind w:firstLine="320" w:firstLineChars="100"/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  <w:t>选手互动点评的评分表</w:t>
      </w: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11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30"/>
        <w:gridCol w:w="64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6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具体描述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细项分值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选手得分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互动点评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分析和点评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1.语言组织具有逻辑性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2.点评全面透彻、观点清晰、角度新颖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3.答题过程流畅、无明显停顿、语句通顺、措辞恰当、语言精炼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倾听能力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4分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1.点评区别于辩论和吵架，存在求同存异，能耐心倾听别人意见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2.相互尊重，在别人发言时不强行插嘴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回应能力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5分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1.根据别人意见，不断完善自己观点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2.阐述自己观点，列举充分理由说服他人赞同并支持自己观点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3.不过于固执，关注点评形势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15分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得分：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20" w:firstLineChars="100"/>
        <w:jc w:val="both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说明：根据才艺展示和现场路演的情况，以结构化小组面试中的互相点评和回应的模式，依次进行。每人点评发言和回应发言的时间，各控制在2分钟内。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snapToGrid w:val="0"/>
          <w:kern w:val="0"/>
          <w:sz w:val="44"/>
          <w:szCs w:val="44"/>
          <w:lang w:val="en-US" w:eastAsia="zh-CN" w:bidi="ar-SA"/>
        </w:rPr>
        <w:t>评委提问</w:t>
      </w: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114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45"/>
        <w:gridCol w:w="6420"/>
        <w:gridCol w:w="124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具体描述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细项分值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选手得分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回答问题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应答能力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1.能正确理解评委提问，作出有针对性的回答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2.在评委提出问题后马上作出反馈，及时作出回答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3.答题过程流畅，无明显停顿，语句通顺，措辞恰当，语言精炼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4.应变能力强，能够灵活的，创造性的应用职业规划知识作答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回答内容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1.回答内容切合题意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2.回答过程条理清晰，层次分明，结论明确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3.回答内容准确精炼，重点突出，能够有针对性的就提问要点归纳阐释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  <w:t>4.回答内容真实可信，运用事实论据，论述有说服力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20分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得分：</w:t>
            </w:r>
          </w:p>
        </w:tc>
      </w:tr>
    </w:tbl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7D65"/>
    <w:rsid w:val="747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2021-03-04T07:49:00Z</dcterms:created>
  <dc:creator>Administrator</dc:creator>
  <cp:lastModifiedBy>Administrator</cp:lastModifiedBy>
  <dcterms:modified xsi:type="dcterms:W3CDTF">2021-03-04T07:50:12Z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